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F9" w:rsidRPr="002267F9" w:rsidRDefault="002267F9" w:rsidP="002267F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2267F9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«Цель – Средство – </w:t>
      </w:r>
      <w:proofErr w:type="gramStart"/>
      <w:r w:rsidRPr="002267F9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Результат»</w:t>
      </w:r>
      <w:r w:rsidRPr="002267F9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br/>
      </w:r>
      <w:r w:rsidRPr="002267F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А.А.</w:t>
      </w:r>
      <w:proofErr w:type="gramEnd"/>
      <w:r w:rsidRPr="002267F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Карманов (ЦСР)</w:t>
      </w:r>
    </w:p>
    <w:p w:rsidR="002267F9" w:rsidRPr="002267F9" w:rsidRDefault="002267F9" w:rsidP="002267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7F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765339A" wp14:editId="50357ABE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7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Данный опросник, предложенный А.А. </w:t>
      </w:r>
      <w:proofErr w:type="spellStart"/>
      <w:r w:rsidRPr="002267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Кармановым</w:t>
      </w:r>
      <w:bookmarkStart w:id="0" w:name="_GoBack"/>
      <w:bookmarkEnd w:id="0"/>
      <w:proofErr w:type="spellEnd"/>
      <w:r w:rsidRPr="002267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рассчитан на исследование особенностей структуры деятельности. В основу его положен общенаучный базис Цель – Средство – Результат, отражающий основные черты любой деятельности. Согласно этой парадигме любую деятельность можно рассматривать как состоящую из трех компонент (обычно чередующихся последовательно):</w:t>
      </w:r>
    </w:p>
    <w:p w:rsidR="002267F9" w:rsidRPr="002267F9" w:rsidRDefault="002267F9" w:rsidP="00226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  в начале любой деятельности человек, синтезируя большое количество информации, вырабатывает Цель деятельности, т.е. начинает представлять более или менее ясную картину желаемого будущего, то </w:t>
      </w:r>
      <w:proofErr w:type="gram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конечное состояние</w:t>
      </w:r>
      <w:proofErr w:type="gram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 в которое он хочет привести ситуацию и себя;</w:t>
      </w:r>
    </w:p>
    <w:p w:rsidR="002267F9" w:rsidRPr="002267F9" w:rsidRDefault="002267F9" w:rsidP="00226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  далее в ход вступают средство, т.е. тот ресурс, который человек готов истратить на достижение цели;</w:t>
      </w:r>
    </w:p>
    <w:p w:rsidR="002267F9" w:rsidRPr="002267F9" w:rsidRDefault="002267F9" w:rsidP="00226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  итогом любой деятельности является актуализация результата - того итога, которого достиг человек.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07984F9" wp14:editId="6B7634DD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>Как разные люди, так и один человек в разные периоды своей жизни обладают неодинаковыми параметрами своей деятельности. Данная методика предназначена для определения личностных свойств индивида, связанных с деятельностью, за период 1-2 месяца перед проведением теста. Иными словами, по результатам опросника ЦСР нельзя судить о том, обладал или нет обследованный тем или иным качествам в более ранний период (например, за полгода до проведения теста). Опросник рекомендуется применять, начиная с подросткового возраста. Допустима групповая форма работы.</w:t>
      </w:r>
    </w:p>
    <w:p w:rsidR="002267F9" w:rsidRPr="002267F9" w:rsidRDefault="002267F9" w:rsidP="002267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Инструкция.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> В опроснике содержится несколько десятков утверждений, касающихся вашего характера, поведения. К опроснику приложен бланк ответов. Номер на бланке ответа соответствует номеру утверждения. Прочтите каждое утверждение и решите, верно оно или нет. Если вы решили, что данное утверждение верно, поставьте плюс на бланке ответов рядом с номером, соответствующим номеру утверждения. Если утверждение по отношению к вам неверно, поставьте минус. Если утверждение по отношению к вам бывает верно или неверно в разные периоды вашей жизни, выбирайте решение так, как это правильно в настоящее время. Если Вы затрудняетесь однозначно ответить на какой-либо вопрос, то можете не ставить никакой знак. Однако учтите, что если пропустите 5 и более утверждений, то результат буден признан недостоверным.</w:t>
      </w:r>
    </w:p>
    <w:p w:rsidR="002267F9" w:rsidRPr="002267F9" w:rsidRDefault="002267F9" w:rsidP="00226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Опросник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Я активный человек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Иногда я прихожу в сильное возбуждение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Бывает так, что я чем-нибудь раздражен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Я всегда ем то, что мне подают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Чтобы добиться чего-то в жизни – надо уметь ставить перед собой цели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Я бы сравнил себя с хорошо настроенным музыкальным инструментом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Я всегда делаю так, как мне говорят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Иногда я задумываюсь о смысле жизни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Не люблю, когда мне подсказывают, как надо делать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Я могу объяснить поступки каждого человека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Часто мои близкие меня не слушают, и мне приходится повторять одну фразу несколько раз, пока, наконец, меня не услышат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Часто со мной случаются странные вещи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Обычно я не могу однозначно сказать про кого-то, хороший он человек или нет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Я предпочитаю ставить перед собой цели не очень сложные, но и не очень простые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Со мной часто происходят вещи, которые я не могу объяснить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Когда остаюсь один, я много размышляю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Я скучаю редко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Мне можно доверить любую тайну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В любой ситуации можно найти выход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Вид заходящего солнца вызывает у меня вдохновение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Проходя мимо лежащего мяча, у меня возникает желание пнуть его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Когда волнуюсь, то чаще я краснею, чем бледнею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Хорошая музыка меня воодушевляет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Цели перед собой предпочитаю ставить сам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Вид неприятного мне человека вызывает у меня желание его побить или нанести ему какой-нибудь другой ущерб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Все, что мне дорого, одинаково ценно для меня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Когда я что-то делаю, то охотно выслушиваю любые советы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Удачно законченное дело вызывает у меня прилив хорошего настроения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Принимая решение, я взвешиваю все «за» и «против»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Иногда бывает, что я говорю о ком-то плохо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У меня характер скорее «нападающего», чем «защитника»</w:t>
      </w:r>
    </w:p>
    <w:p w:rsidR="002267F9" w:rsidRPr="002267F9" w:rsidRDefault="002267F9" w:rsidP="0022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Стабильность лучше непредсказуемости</w:t>
      </w:r>
    </w:p>
    <w:p w:rsidR="002267F9" w:rsidRPr="002267F9" w:rsidRDefault="002267F9" w:rsidP="00226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Обработка результатов и интерпретация</w:t>
      </w:r>
    </w:p>
    <w:p w:rsidR="002267F9" w:rsidRPr="002267F9" w:rsidRDefault="002267F9" w:rsidP="002267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Ключ для обработки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9"/>
        <w:gridCol w:w="832"/>
        <w:gridCol w:w="834"/>
        <w:gridCol w:w="814"/>
        <w:gridCol w:w="839"/>
        <w:gridCol w:w="839"/>
        <w:gridCol w:w="834"/>
        <w:gridCol w:w="839"/>
      </w:tblGrid>
      <w:tr w:rsidR="002267F9" w:rsidRPr="002267F9" w:rsidTr="002267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Л–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Л+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Ц+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Ц+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Л+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Ц–</w:t>
            </w:r>
          </w:p>
        </w:tc>
      </w:tr>
      <w:tr w:rsidR="002267F9" w:rsidRPr="002267F9" w:rsidTr="002267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С+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Р+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 Р+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 Р–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 Р–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 Ц+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 Р–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 Ц–</w:t>
            </w:r>
          </w:p>
        </w:tc>
      </w:tr>
      <w:tr w:rsidR="002267F9" w:rsidRPr="002267F9" w:rsidTr="002267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 Ц+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 Л+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 С+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 Р–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 С–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 С–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 Р–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 Ц+</w:t>
            </w:r>
          </w:p>
        </w:tc>
      </w:tr>
      <w:tr w:rsidR="002267F9" w:rsidRPr="002267F9" w:rsidTr="002267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 С+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 Ц–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 С–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 Р–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 Ц+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 Л–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 С+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F9" w:rsidRPr="002267F9" w:rsidRDefault="002267F9" w:rsidP="0022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 Р+</w:t>
            </w:r>
          </w:p>
        </w:tc>
      </w:tr>
    </w:tbl>
    <w:p w:rsidR="002267F9" w:rsidRPr="002267F9" w:rsidRDefault="002267F9" w:rsidP="00226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  <w:t>        Сначала подсчитываются следующие показатели:</w:t>
      </w:r>
    </w:p>
    <w:p w:rsidR="002267F9" w:rsidRPr="002267F9" w:rsidRDefault="002267F9" w:rsidP="00226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 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 – количество совпадений по шкале «Цель» (например, положительный ответ на 5 утверждение считается совпадением по шкале «Цель»),</w:t>
      </w:r>
    </w:p>
    <w:p w:rsidR="002267F9" w:rsidRPr="002267F9" w:rsidRDefault="002267F9" w:rsidP="00226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 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несовп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 – количество несовпадений по шкале «Цель» (например, положительный ответ на 8 утверждение считается несовпадением по шкале «Цель»),</w:t>
      </w:r>
    </w:p>
    <w:p w:rsidR="002267F9" w:rsidRPr="002267F9" w:rsidRDefault="002267F9" w:rsidP="00226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 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 – количество совпадений по шкале «Средство»,</w:t>
      </w:r>
    </w:p>
    <w:p w:rsidR="002267F9" w:rsidRPr="002267F9" w:rsidRDefault="002267F9" w:rsidP="00226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 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несовп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 – количество несовпадений по шкале «Средство»,</w:t>
      </w:r>
    </w:p>
    <w:p w:rsidR="002267F9" w:rsidRPr="002267F9" w:rsidRDefault="002267F9" w:rsidP="00226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 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 – количество совпадений по шкале «Результат»,</w:t>
      </w:r>
    </w:p>
    <w:p w:rsidR="002267F9" w:rsidRPr="002267F9" w:rsidRDefault="002267F9" w:rsidP="00226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 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несовп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 – количество несовпадений по шкале «Результат»,</w:t>
      </w:r>
    </w:p>
    <w:p w:rsidR="002267F9" w:rsidRPr="002267F9" w:rsidRDefault="002267F9" w:rsidP="00226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 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 – количество совпадений по шкале «Ложь»,</w:t>
      </w:r>
    </w:p>
    <w:p w:rsidR="002267F9" w:rsidRPr="002267F9" w:rsidRDefault="002267F9" w:rsidP="00226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 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несовп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 – количество несовпадений по шкале «Ложь».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  <w:t>        Путем вычитания получаются окончательные баллы:</w:t>
      </w:r>
    </w:p>
    <w:p w:rsidR="002267F9" w:rsidRPr="002267F9" w:rsidRDefault="002267F9" w:rsidP="002267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Pr="002267F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0EEF8D5" wp14:editId="3191BCE5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Ц =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 –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несовп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 (шкала «Цель</w:t>
      </w:r>
      <w:proofErr w:type="gram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»)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ACCDBF1" wp14:editId="5FF1192A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 –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несовп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 (шкала «Средство»)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01EACAE" wp14:editId="6950BC79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Р =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 –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несовп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 (шкала «Результат»)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3D35A10" wp14:editId="048DBC6C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Л =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 –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267F9">
        <w:rPr>
          <w:rFonts w:ascii="Arial" w:eastAsia="Times New Roman" w:hAnsi="Arial" w:cs="Arial"/>
          <w:sz w:val="20"/>
          <w:szCs w:val="20"/>
          <w:lang w:eastAsia="ru-RU"/>
        </w:rPr>
        <w:t>несовп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 (шкала «Ложь»)</w:t>
      </w:r>
    </w:p>
    <w:p w:rsidR="002267F9" w:rsidRPr="002267F9" w:rsidRDefault="002267F9" w:rsidP="002267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sz w:val="24"/>
          <w:szCs w:val="24"/>
          <w:lang w:eastAsia="ru-RU"/>
        </w:rPr>
        <w:t>        Недостоверными признаются результаты в случае 5 и более пропущенных утверждений, а также, если Л больше 0.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  <w:t>        Интерпретация результатов осуществляется в соответствии со следующими данными:</w:t>
      </w:r>
    </w:p>
    <w:p w:rsidR="002267F9" w:rsidRPr="002267F9" w:rsidRDefault="002267F9" w:rsidP="002267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Цель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–9 до –5 баллов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. Сильно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фрустрированное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состояние, выражающееся в невозможности ставить перед собой конструктивные цели. Мотивы деятельности бессистемны,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неиерархизированы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. Вместо того, чтобы ставить реальные цели деятельности, достигать весомых результатов, человек ограничивается постановкой либо «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микроцелей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», ограниченных текущей ситуацией, либо же фиксируется на постановке глобальных целей. Одним из выражений последнего является поиск так называемого «смысла жизни</w:t>
      </w:r>
      <w:proofErr w:type="gram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</w:t>
      </w:r>
      <w:proofErr w:type="gramEnd"/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–4 до +4 баллов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>. Ставящиеся цели не всегда обоснованы, неустойчивы. Не все разумные действия целесообразны, иногда склонен к пустому времяпрепровождению. В случае затруднения с выбором цели легко пользуется подсказкой извне, готов принять цель извне. Чтобы подготовить себя к выполнению какой-либо деятельности – всегда требуется определенная сила воли, чтобы «собраться</w:t>
      </w:r>
      <w:proofErr w:type="gram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</w:t>
      </w:r>
      <w:proofErr w:type="gramEnd"/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+5 до +9 баллов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. Оптимальный результат. Человек ставит перед собой реальные цели, настроен на достижение, мотивы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целеобразования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 и деятельности в целом систематичны,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иерархизированы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. Практически все, что делает испытуемый он может объяснить с точки зрения целесообразности. Не склонен к пустому времяпрепровождению. Решительность связана с легкостью образования целей,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немнительностью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67F9" w:rsidRPr="002267F9" w:rsidRDefault="002267F9" w:rsidP="002267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Средство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–9 до –2 балла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. Человек испытывает хронический недостаток средств достижения поставленных целей. Типичные проявления ограниченности в выборе средств: низкий энергетический потенциал, преобладание парасимпатической составляющей вегетативной нервной системы,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конформность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, сильная зависимость от ситуации, от других людей (в первую очередь от их мнения), внушаемость, обилие психологических комплексов, которые в том числе мешают использовать на 100 % внутренний потенциал.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–1 до +2 баллов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>. Испытуемый периодически встречается с трудностями в выборе средств (речь идет о психологических барьерах). Причиной такой скованности часто бывает отсутствие конструктивной, достигаемой цели. Также одним из факторов подобного поведения является комплекс причин, который можно назвать «страхом самовыражения». В установках испытуемого преобладают «энергосберегающие мотивы». Недостаточно спонтанное поведение.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+3 до +6 баллов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. Оптимальный результат. Человек достаточно свободен в выборе средств, его поведение настолько спонтанно, насколько этого требует ситуация. Достаточно хороший энергетический потенциал. Сбалансированность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симпатики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2267F9">
        <w:rPr>
          <w:rFonts w:ascii="Arial" w:eastAsia="Times New Roman" w:hAnsi="Arial" w:cs="Arial"/>
          <w:sz w:val="24"/>
          <w:szCs w:val="24"/>
          <w:lang w:eastAsia="ru-RU"/>
        </w:rPr>
        <w:t>парасимпатики</w:t>
      </w:r>
      <w:proofErr w:type="spellEnd"/>
      <w:r w:rsidRPr="002267F9">
        <w:rPr>
          <w:rFonts w:ascii="Arial" w:eastAsia="Times New Roman" w:hAnsi="Arial" w:cs="Arial"/>
          <w:sz w:val="24"/>
          <w:szCs w:val="24"/>
          <w:lang w:eastAsia="ru-RU"/>
        </w:rPr>
        <w:t>. Не агрессивен, но и не конформен. Поведение не вызывающее, но и не блокируется комплексами, мнительностью, негативизмом.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от +7 до +9 баллов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>. Поведение излишне спонтанно. Не ищет помощи от окружающих, предпочитает ими верховодить. В своих действиях испытуемый не только не обращает внимание на имеющиеся стандарты поведения, но часто действует вопреки им. Повышенная агрессивность, проявляющаяся как в открытых формах, так и скрытая.</w:t>
      </w:r>
    </w:p>
    <w:p w:rsidR="002267F9" w:rsidRPr="002267F9" w:rsidRDefault="002267F9" w:rsidP="002267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7F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Результат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–9 до –5 баллов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>. Испытуемый склонен переоценивать результат своей деятельности. Удача вызывает приступы сильного веселья, неудачи провоцируют неадекватное горе. Даже ничтожные события способны вызвать настоящее потрясение. Человек как бы находится в состоянии хронического перехода, транса. Личностный рост испытуемого непредсказуем, во многом случаен. Как правило, повышенная тревожность. Интерес к своему внутреннему миру.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–4 до +4 баллов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>. Оптимальный результат. Как правило, испытуемый довольно трезво оценивает результаты своей деятельности. Он не переоценивает, но и не недооценивает итоги. В оценках других людей, событий довольно беспристрастен. Личностный рост нормально динамичен.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26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+5 до +9 баллов</w:t>
      </w:r>
      <w:r w:rsidRPr="002267F9">
        <w:rPr>
          <w:rFonts w:ascii="Arial" w:eastAsia="Times New Roman" w:hAnsi="Arial" w:cs="Arial"/>
          <w:sz w:val="24"/>
          <w:szCs w:val="24"/>
          <w:lang w:eastAsia="ru-RU"/>
        </w:rPr>
        <w:t>. Человек склонен недооценивать результаты своей деятельности. Ригидность, излишняя критичность. В оценках поведения других людей преобладает оттенок критиканства, неодобрения. Ярким проявлением ригидности являются персеверации: многократные и навязчивые повторения. Испытуемый неоднократно повторяет одну и ту же фразу, совершает одно и то же действие. Редко испытывает сильные эмоции, даже самые эффектные результаты не вызывают яркого удовольствия или же огорчения.</w:t>
      </w:r>
    </w:p>
    <w:p w:rsidR="008B654E" w:rsidRPr="002267F9" w:rsidRDefault="008B654E">
      <w:pPr>
        <w:rPr>
          <w:rFonts w:ascii="Arial" w:hAnsi="Arial" w:cs="Arial"/>
        </w:rPr>
      </w:pPr>
    </w:p>
    <w:sectPr w:rsidR="008B654E" w:rsidRPr="0022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7D49"/>
    <w:multiLevelType w:val="multilevel"/>
    <w:tmpl w:val="7986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F9"/>
    <w:rsid w:val="002267F9"/>
    <w:rsid w:val="008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0A8ED-3D8F-4E2F-863F-43773A30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2022-04-14T08:09:00Z</dcterms:created>
  <dcterms:modified xsi:type="dcterms:W3CDTF">2022-04-14T08:11:00Z</dcterms:modified>
</cp:coreProperties>
</file>